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4" w:rsidRPr="00BF5484" w:rsidRDefault="00BF5484" w:rsidP="00BF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Результати </w:t>
      </w:r>
      <w:r w:rsidRPr="00B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забезпечення якості освіти</w:t>
      </w:r>
      <w:r w:rsidRPr="00B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 КУ Сумська ЗОШ № 12</w:t>
      </w:r>
    </w:p>
    <w:p w:rsidR="00BF5484" w:rsidRPr="00BF5484" w:rsidRDefault="00BF5484" w:rsidP="00BF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2019-2020 навчальному році</w:t>
      </w:r>
      <w:bookmarkEnd w:id="0"/>
    </w:p>
    <w:p w:rsidR="00BF5484" w:rsidRPr="00BF5484" w:rsidRDefault="00BF5484" w:rsidP="00BF54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5484" w:rsidRDefault="00BF5484" w:rsidP="00BF54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84" w:rsidRPr="00F53EC4" w:rsidRDefault="00BF5484" w:rsidP="00BF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початок року у  школі навчалося 833 учні, що на 38 дітей більше ніж торік. На кінець року маємо 817 учнів, з них 1-4 класів – 371, 5-9 класів – 374, 10-11 класів – 74. У 3-Б, 4-А, 5-А, 5-Б, 6-Б класах упроваджено програми з математики за науково-педагогічним проектом «Росток». Учні 3-В класу  навчаються за програмою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Всеукраїнського педагогічного проекту "Розумники" (</w:t>
      </w:r>
      <w:r w:rsidRPr="00F53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Smart</w:t>
      </w:r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EC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Kids</w:t>
      </w:r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>),  учні 1-А, 1-Б, 2-Б класу -  за програмою «Інтелект України», учні 2-А, 2-В – за програмою «На крилах успіху».                               .</w:t>
      </w:r>
    </w:p>
    <w:p w:rsidR="00BF5484" w:rsidRPr="002F1D3A" w:rsidRDefault="00BF5484" w:rsidP="00BF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>Оцінювання учнів педагогами школи здійснювалось відповідно до критеріїв оцінювання навчальних досягнень учнів, затверджених наказами МОН України від 13.04.2011 № 329 «Про затвердження Критеріїв оцінювання навчальних досягнень учнів (вихованців) у системі загальної середньої освіти», зареєстрованим у Міністерстві юстиції України 11 травня 2011 року за № 566/19304, від 21.08.2013 № 1222 «Про затвердження орієнтовних вимог оцінювання навчальних досягнень учнів із базових дисциплін у системі загальної середньої освіти»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також відповідно до наказів МОН </w:t>
      </w:r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20 серпня 2018 року </w:t>
      </w:r>
      <w:hyperlink r:id="rId5" w:history="1">
        <w:r w:rsidRPr="00F53EC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№ 924</w:t>
        </w:r>
      </w:hyperlink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«Про затвердження методичних рекомендацій щодо оцінювання навчальних досягнень учнів першого класу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Новій українській школі», від 27 серпня 2019 року </w:t>
      </w:r>
      <w:hyperlink r:id="rId6" w:history="1">
        <w:r w:rsidRPr="00F53EC4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№ 1154</w:t>
        </w:r>
      </w:hyperlink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«Про затвердження методичних рекомендацій щодо оцінювання навчальних досягнень учнів другого класу»;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 від 16.04.2020 № 1/9-213 «Щодо проведення підсумкового оцінювання та організованого завершення 2019-2020 навчального року»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484" w:rsidRPr="00F53EC4" w:rsidRDefault="00BF5484" w:rsidP="00BF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Загальні результати навчальних досягнень учнів школи за 2019-2020 навчальний рік у порівнянні з результатами 2018-2019 </w:t>
      </w:r>
      <w:proofErr w:type="spellStart"/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F53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представлено в таблиці 1.                                                                                                   </w:t>
      </w:r>
    </w:p>
    <w:p w:rsidR="00BF5484" w:rsidRPr="00F53EC4" w:rsidRDefault="00BF5484" w:rsidP="00BF54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53EC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Таблиця 1</w:t>
      </w:r>
    </w:p>
    <w:tbl>
      <w:tblPr>
        <w:tblW w:w="10911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08"/>
        <w:gridCol w:w="1332"/>
        <w:gridCol w:w="498"/>
        <w:gridCol w:w="833"/>
        <w:gridCol w:w="767"/>
        <w:gridCol w:w="850"/>
        <w:gridCol w:w="540"/>
        <w:gridCol w:w="706"/>
        <w:gridCol w:w="734"/>
        <w:gridCol w:w="534"/>
        <w:gridCol w:w="544"/>
        <w:gridCol w:w="546"/>
        <w:gridCol w:w="649"/>
        <w:gridCol w:w="850"/>
      </w:tblGrid>
      <w:tr w:rsidR="00BF5484" w:rsidRPr="00F53EC4" w:rsidTr="007F4972">
        <w:trPr>
          <w:cantSplit/>
          <w:trHeight w:val="82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484" w:rsidRPr="00F53EC4" w:rsidRDefault="00BF5484" w:rsidP="007F497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Період 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F5484" w:rsidRPr="00F53EC4" w:rsidRDefault="00BF5484" w:rsidP="007F497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учнів на 5.09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484" w:rsidRPr="00F53EC4" w:rsidRDefault="00BF5484" w:rsidP="007F497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Кількість учнів на кінець навчального періоду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Прибуло учнів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Вибуло учнів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</w:t>
            </w:r>
            <w:proofErr w:type="spellEnd"/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 рівень знань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Якість знань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Високий рівень знань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атестовані учні</w:t>
            </w:r>
          </w:p>
        </w:tc>
      </w:tr>
      <w:tr w:rsidR="00BF5484" w:rsidRPr="00F53EC4" w:rsidTr="007F4972">
        <w:trPr>
          <w:cantSplit/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-го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межах міста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</w:p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межах міста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Учнів 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Учнів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Учнів </w:t>
            </w:r>
          </w:p>
        </w:tc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пропу</w:t>
            </w:r>
            <w:proofErr w:type="spellEnd"/>
          </w:p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</w:t>
            </w:r>
            <w:proofErr w:type="spellEnd"/>
          </w:p>
        </w:tc>
      </w:tr>
      <w:tr w:rsidR="00BF5484" w:rsidRPr="00F53EC4" w:rsidTr="007F4972">
        <w:trPr>
          <w:cantSplit/>
          <w:trHeight w:val="52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К-ть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К-ть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5484" w:rsidRPr="00F53EC4" w:rsidTr="007F4972">
        <w:trPr>
          <w:cantSplit/>
          <w:trHeight w:val="1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484" w:rsidRPr="00F53EC4" w:rsidRDefault="00BF5484" w:rsidP="007F497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2018-2019 </w:t>
            </w:r>
            <w:proofErr w:type="spellStart"/>
            <w:r w:rsidRPr="00F5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F5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" w:type="dxa"/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</w:p>
        </w:tc>
        <w:tc>
          <w:tcPr>
            <w:tcW w:w="1332" w:type="dxa"/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498" w:type="dxa"/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  <w:vAlign w:val="center"/>
          </w:tcPr>
          <w:p w:rsidR="00BF5484" w:rsidRPr="00F53EC4" w:rsidRDefault="00BF5484" w:rsidP="007F4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7" w:type="dxa"/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C4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EC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C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484" w:rsidRPr="00F53EC4" w:rsidTr="007F4972">
        <w:trPr>
          <w:cantSplit/>
          <w:trHeight w:val="16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5484" w:rsidRPr="00F53EC4" w:rsidRDefault="00BF5484" w:rsidP="007F497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proofErr w:type="spellStart"/>
            <w:r w:rsidRPr="00F5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F53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833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817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9" w:type="dxa"/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F5484" w:rsidRPr="00F53EC4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484" w:rsidRPr="0046752B" w:rsidRDefault="00BF5484" w:rsidP="00BF5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52B">
        <w:rPr>
          <w:rFonts w:ascii="Times New Roman" w:eastAsia="Times New Roman" w:hAnsi="Times New Roman" w:cs="Times New Roman"/>
          <w:sz w:val="24"/>
          <w:szCs w:val="24"/>
          <w:lang w:eastAsia="ru-RU"/>
        </w:rPr>
        <w:t>* Без учнів, які оцінюються вербально – 636.</w:t>
      </w:r>
    </w:p>
    <w:p w:rsidR="00BF5484" w:rsidRPr="005A02A9" w:rsidRDefault="00BF5484" w:rsidP="00BF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5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К-ть учнів 1-2 класів, які оцінювались вербально 181. Порівнюючи результати 2019-2020 навчального року з попереднім, бачимо стабільне підвищення результатів на 3 %: 58% учнів навчаються на високому та достатньому рівнях. Загалом, за рік якість знань складає по школі І ступеня – 79% (торік 76%); по школі ІІ ступеня – 49% (торік 44%), по школі ІІІ ступеня – 51 ( у </w:t>
      </w:r>
      <w:r w:rsidRP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минулому році 54%), по школі ІІ-ІІІ ступеня –  50 (торік 45)%.</w:t>
      </w:r>
    </w:p>
    <w:p w:rsidR="00BF5484" w:rsidRPr="005A02A9" w:rsidRDefault="00BF5484" w:rsidP="00BF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Найкращі показники по школі ІІ-ІІІ ступенів мають учні: 6-Б- 78%, 5-А – 73%, 7-В – 71%, 5-Б – 68%, 11- 66%, 5-В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</w:t>
      </w:r>
      <w:r w:rsidRP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10-Б – 57%, 7-Б - 55%, 9-Б – 52%, 8-А – 48%. У цих класних колективах найбільша кількість дітей, що навчаються на високому і достатньому рівнях. Продовжуючи рейтинг класів по спадній маємо: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6-В – 37%, </w:t>
      </w:r>
      <w:r w:rsidRP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>9-А – 31 %, 10-А – 30%, 6-А – 27%, 7-А – 25%, 8-Б – 20%, 9-В – 10%. Разом з тим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5 учнів (на 15 менше ніж торік), які отримали оцінки початкового рівня. Всі ці учні 9-В класу отримали початковий рівень з історії, що свідчить про низький рівень мотивації до навчання таких дітей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їх небажання пристосуватись до умов дистанційного </w:t>
      </w:r>
      <w:r w:rsidRP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навчання.</w:t>
      </w:r>
    </w:p>
    <w:p w:rsidR="00BF5484" w:rsidRPr="005A02A9" w:rsidRDefault="00BF5484" w:rsidP="00BF5484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Порівняльна характеристика якості навчання за паралелями у школі ІІ та ІІІ ступенів представлені в таблиці 2.</w:t>
      </w:r>
    </w:p>
    <w:p w:rsidR="00BF5484" w:rsidRPr="005A02A9" w:rsidRDefault="00BF5484" w:rsidP="00BF54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A02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Таблиця 2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3"/>
        <w:gridCol w:w="1141"/>
        <w:gridCol w:w="1142"/>
        <w:gridCol w:w="1142"/>
        <w:gridCol w:w="1142"/>
        <w:gridCol w:w="1143"/>
        <w:gridCol w:w="1095"/>
        <w:gridCol w:w="1095"/>
      </w:tblGrid>
      <w:tr w:rsidR="00BF5484" w:rsidRPr="005A02A9" w:rsidTr="007F4972">
        <w:tc>
          <w:tcPr>
            <w:tcW w:w="1763" w:type="dxa"/>
            <w:vMerge w:val="restart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312732214"/>
            <w:proofErr w:type="spellStart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рік</w:t>
            </w:r>
          </w:p>
        </w:tc>
        <w:tc>
          <w:tcPr>
            <w:tcW w:w="7900" w:type="dxa"/>
            <w:gridSpan w:val="7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Якість навчальних досягнень учнів (%)</w:t>
            </w:r>
          </w:p>
        </w:tc>
      </w:tr>
      <w:tr w:rsidR="00BF5484" w:rsidRPr="005A02A9" w:rsidTr="007F4972">
        <w:tc>
          <w:tcPr>
            <w:tcW w:w="1763" w:type="dxa"/>
            <w:vMerge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1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2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2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2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3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5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95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 </w:t>
            </w:r>
            <w:proofErr w:type="spellStart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F5484" w:rsidRPr="005A02A9" w:rsidTr="007F4972">
        <w:tc>
          <w:tcPr>
            <w:tcW w:w="1763" w:type="dxa"/>
          </w:tcPr>
          <w:p w:rsidR="00BF5484" w:rsidRPr="005A02A9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141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42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42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2" w:type="dxa"/>
          </w:tcPr>
          <w:p w:rsidR="00BF5484" w:rsidRPr="00BF548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43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095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095" w:type="dxa"/>
          </w:tcPr>
          <w:p w:rsidR="00BF5484" w:rsidRPr="005A02A9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02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46</w:t>
            </w:r>
          </w:p>
        </w:tc>
      </w:tr>
      <w:tr w:rsidR="00BF5484" w:rsidRPr="00194EDB" w:rsidTr="007F4972">
        <w:tc>
          <w:tcPr>
            <w:tcW w:w="1763" w:type="dxa"/>
          </w:tcPr>
          <w:p w:rsidR="00BF5484" w:rsidRPr="00194EDB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І семестр 2019-2020 </w:t>
            </w:r>
            <w:proofErr w:type="spellStart"/>
            <w:r w:rsidRPr="0019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19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1" w:type="dxa"/>
          </w:tcPr>
          <w:p w:rsidR="00BF5484" w:rsidRPr="00194ED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42" w:type="dxa"/>
          </w:tcPr>
          <w:p w:rsidR="00BF5484" w:rsidRPr="00194ED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2" w:type="dxa"/>
          </w:tcPr>
          <w:p w:rsidR="00BF5484" w:rsidRPr="00BF548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42" w:type="dxa"/>
          </w:tcPr>
          <w:p w:rsidR="00BF5484" w:rsidRPr="00BF548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43" w:type="dxa"/>
          </w:tcPr>
          <w:p w:rsidR="00BF5484" w:rsidRPr="00BF548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95" w:type="dxa"/>
          </w:tcPr>
          <w:p w:rsidR="00BF5484" w:rsidRPr="00BF548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095" w:type="dxa"/>
          </w:tcPr>
          <w:p w:rsidR="00BF5484" w:rsidRPr="00194ED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</w:t>
            </w:r>
          </w:p>
        </w:tc>
      </w:tr>
      <w:tr w:rsidR="00BF5484" w:rsidRPr="00194EDB" w:rsidTr="007F4972">
        <w:tc>
          <w:tcPr>
            <w:tcW w:w="1763" w:type="dxa"/>
          </w:tcPr>
          <w:p w:rsidR="00BF5484" w:rsidRPr="00194EDB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2019-2020 </w:t>
            </w:r>
            <w:proofErr w:type="spellStart"/>
            <w:r w:rsidRPr="0019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194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1" w:type="dxa"/>
          </w:tcPr>
          <w:p w:rsidR="00BF5484" w:rsidRPr="00194ED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42" w:type="dxa"/>
          </w:tcPr>
          <w:p w:rsidR="00BF5484" w:rsidRPr="00194ED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142" w:type="dxa"/>
          </w:tcPr>
          <w:p w:rsidR="00BF5484" w:rsidRPr="00BF548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00B0F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42" w:type="dxa"/>
          </w:tcPr>
          <w:p w:rsidR="00BF5484" w:rsidRPr="00BF548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43" w:type="dxa"/>
          </w:tcPr>
          <w:p w:rsidR="00BF5484" w:rsidRPr="00BF548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095" w:type="dxa"/>
          </w:tcPr>
          <w:p w:rsidR="00BF5484" w:rsidRPr="00BF5484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BF5484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095" w:type="dxa"/>
          </w:tcPr>
          <w:p w:rsidR="00BF5484" w:rsidRPr="00194ED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E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66</w:t>
            </w:r>
          </w:p>
        </w:tc>
      </w:tr>
    </w:tbl>
    <w:bookmarkEnd w:id="1"/>
    <w:p w:rsidR="00BF5484" w:rsidRPr="00805340" w:rsidRDefault="00BF5484" w:rsidP="00BF5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E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 таблиці видно, що  річні результати в порівнянні з семестровими учнів 5-11  різко покращились,  що може свідчити про вплив  різних факторів, які проявили себе під час дистанційного навчання (уміння деяких учнів зосереджуватись на навчанні, підказки і допомога батьків, списування, порушення академічної доброчесності тощо). Проте, порівнюючи паралелі класів за роками, чітко простежується крива мотивації навчання: погіршення рівня </w:t>
      </w:r>
      <w:r w:rsidRPr="008053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навченості від 5 до 8  класів та покращення від 9 до 11 класів.</w:t>
      </w:r>
    </w:p>
    <w:p w:rsidR="00BF5484" w:rsidRPr="00805340" w:rsidRDefault="00BF5484" w:rsidP="00BF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аналізу результатів навчальних досягнень учнів школи за 2019-2020 </w:t>
      </w:r>
      <w:proofErr w:type="spellStart"/>
      <w:r w:rsidRPr="00805340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8053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було проаналізовано звіти класних керівників на наявність учнів з однією оцінкою нижчого рівня. </w:t>
      </w:r>
    </w:p>
    <w:p w:rsidR="00BF5484" w:rsidRPr="00805340" w:rsidRDefault="00BF5484" w:rsidP="00BF548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053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Таблиця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650"/>
        <w:gridCol w:w="3930"/>
        <w:gridCol w:w="1090"/>
      </w:tblGrid>
      <w:tr w:rsidR="00BF5484" w:rsidRPr="002530FB" w:rsidTr="007F4972">
        <w:trPr>
          <w:trHeight w:val="295"/>
        </w:trPr>
        <w:tc>
          <w:tcPr>
            <w:tcW w:w="2628" w:type="dxa"/>
          </w:tcPr>
          <w:p w:rsidR="00BF5484" w:rsidRPr="002530F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 за І семестр</w:t>
            </w:r>
          </w:p>
        </w:tc>
        <w:tc>
          <w:tcPr>
            <w:tcW w:w="1650" w:type="dxa"/>
          </w:tcPr>
          <w:p w:rsidR="00BF5484" w:rsidRPr="002530F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К-ть по школі</w:t>
            </w:r>
          </w:p>
        </w:tc>
        <w:tc>
          <w:tcPr>
            <w:tcW w:w="3930" w:type="dxa"/>
          </w:tcPr>
          <w:p w:rsidR="00BF5484" w:rsidRPr="002530F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Класи</w:t>
            </w:r>
          </w:p>
        </w:tc>
        <w:tc>
          <w:tcPr>
            <w:tcW w:w="1090" w:type="dxa"/>
          </w:tcPr>
          <w:p w:rsidR="00BF5484" w:rsidRPr="002530F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BF5484" w:rsidRPr="002530FB" w:rsidTr="007F4972">
        <w:trPr>
          <w:trHeight w:val="295"/>
        </w:trPr>
        <w:tc>
          <w:tcPr>
            <w:tcW w:w="2628" w:type="dxa"/>
          </w:tcPr>
          <w:p w:rsidR="00BF5484" w:rsidRPr="002530FB" w:rsidRDefault="00BF5484" w:rsidP="007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Встигають з однією 7, 8, 9</w:t>
            </w:r>
          </w:p>
        </w:tc>
        <w:tc>
          <w:tcPr>
            <w:tcW w:w="1650" w:type="dxa"/>
          </w:tcPr>
          <w:p w:rsidR="00BF5484" w:rsidRPr="002530F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30" w:type="dxa"/>
          </w:tcPr>
          <w:p w:rsidR="00BF5484" w:rsidRPr="002530FB" w:rsidRDefault="00BF5484" w:rsidP="007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5-А – 1; 8-А- 1; 11 - 2</w:t>
            </w:r>
          </w:p>
        </w:tc>
        <w:tc>
          <w:tcPr>
            <w:tcW w:w="1090" w:type="dxa"/>
          </w:tcPr>
          <w:p w:rsidR="00BF5484" w:rsidRPr="002530FB" w:rsidRDefault="00BF5484" w:rsidP="007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0,6%</w:t>
            </w:r>
          </w:p>
        </w:tc>
      </w:tr>
      <w:tr w:rsidR="00BF5484" w:rsidRPr="002530FB" w:rsidTr="007F4972">
        <w:trPr>
          <w:trHeight w:val="605"/>
        </w:trPr>
        <w:tc>
          <w:tcPr>
            <w:tcW w:w="2628" w:type="dxa"/>
          </w:tcPr>
          <w:p w:rsidR="00BF5484" w:rsidRPr="002530FB" w:rsidRDefault="00BF5484" w:rsidP="007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Встигають з однією 4, 5, 6</w:t>
            </w:r>
          </w:p>
        </w:tc>
        <w:tc>
          <w:tcPr>
            <w:tcW w:w="1650" w:type="dxa"/>
          </w:tcPr>
          <w:p w:rsidR="00BF5484" w:rsidRPr="002530F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930" w:type="dxa"/>
          </w:tcPr>
          <w:p w:rsidR="00BF5484" w:rsidRPr="002530FB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5-А – 1; 5-Б – 4; 5-В – 4; </w:t>
            </w:r>
          </w:p>
          <w:p w:rsidR="00BF5484" w:rsidRPr="002530FB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6-А – 1; 6-Б – 2; 6-В – 4;                7-В – 1; 8-А – 1; 8-Б – 1;</w:t>
            </w:r>
          </w:p>
          <w:p w:rsidR="00BF5484" w:rsidRPr="002530FB" w:rsidRDefault="00BF5484" w:rsidP="007F4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10-Б - 2; 11 - 2 </w:t>
            </w:r>
          </w:p>
        </w:tc>
        <w:tc>
          <w:tcPr>
            <w:tcW w:w="1090" w:type="dxa"/>
          </w:tcPr>
          <w:p w:rsidR="00BF5484" w:rsidRPr="002530FB" w:rsidRDefault="00BF5484" w:rsidP="007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4 %</w:t>
            </w:r>
          </w:p>
        </w:tc>
      </w:tr>
      <w:tr w:rsidR="00BF5484" w:rsidRPr="002530FB" w:rsidTr="007F4972">
        <w:trPr>
          <w:trHeight w:val="605"/>
        </w:trPr>
        <w:tc>
          <w:tcPr>
            <w:tcW w:w="2628" w:type="dxa"/>
          </w:tcPr>
          <w:p w:rsidR="00BF5484" w:rsidRPr="002530FB" w:rsidRDefault="00BF5484" w:rsidP="007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Мають по 1 оцінці початкового рівня</w:t>
            </w:r>
          </w:p>
        </w:tc>
        <w:tc>
          <w:tcPr>
            <w:tcW w:w="1650" w:type="dxa"/>
          </w:tcPr>
          <w:p w:rsidR="00BF5484" w:rsidRPr="002530FB" w:rsidRDefault="00BF5484" w:rsidP="007F4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30" w:type="dxa"/>
          </w:tcPr>
          <w:p w:rsidR="00BF5484" w:rsidRPr="002530FB" w:rsidRDefault="00BF5484" w:rsidP="007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9-В – 2</w:t>
            </w:r>
          </w:p>
        </w:tc>
        <w:tc>
          <w:tcPr>
            <w:tcW w:w="1090" w:type="dxa"/>
          </w:tcPr>
          <w:p w:rsidR="00BF5484" w:rsidRPr="002530FB" w:rsidRDefault="00BF5484" w:rsidP="007F4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0,3 %</w:t>
            </w:r>
          </w:p>
        </w:tc>
      </w:tr>
    </w:tbl>
    <w:p w:rsidR="00BF5484" w:rsidRPr="002530FB" w:rsidRDefault="00BF5484" w:rsidP="00BF54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84" w:rsidRPr="002530FB" w:rsidRDefault="00BF5484" w:rsidP="00BF54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таблиці видно, що у випадку ефективної індивідуальної роботи вчителів результати навчальних досягнень учнів  школи ІІ та ІІІ ступеня за 2019-2020 </w:t>
      </w:r>
      <w:proofErr w:type="spellStart"/>
      <w:r w:rsidRPr="002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25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могли бути кращими на 6%. </w:t>
      </w:r>
    </w:p>
    <w:p w:rsidR="00BF5484" w:rsidRPr="002530FB" w:rsidRDefault="00BF5484" w:rsidP="00BF54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Найбільше учнів з 1 оцінкою середнього рівня з предметів математика -  11, англійська мова - 4,  українська мова - 4, фізика та географія – 2. </w:t>
      </w:r>
    </w:p>
    <w:p w:rsidR="00BF5484" w:rsidRPr="002530FB" w:rsidRDefault="00BF5484" w:rsidP="00BF54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Даний факт свідчить про необхідність у наступному навчальному періоді посилення індивідуальної роботи з учнями, які почали знижувати результати навчальних досягнень з боку вчителів-</w:t>
      </w:r>
      <w:proofErr w:type="spellStart"/>
      <w:r w:rsidRPr="002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предметників</w:t>
      </w:r>
      <w:proofErr w:type="spellEnd"/>
      <w:r w:rsidRPr="002530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підвищення контролю з боку класних керівників та батьків.</w:t>
      </w:r>
    </w:p>
    <w:p w:rsidR="00BF5484" w:rsidRPr="00670E30" w:rsidRDefault="00BF5484" w:rsidP="00BF548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530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Допрофільна</w:t>
      </w:r>
      <w:proofErr w:type="spellEnd"/>
      <w:r w:rsidRPr="00253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підготовка та профілізація старшої школи здійснювалась на основі вивчення інтересів та запитів </w:t>
      </w:r>
      <w:r w:rsidRPr="006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школярів за такими напрямками: українська філологія, фізико-математичний, історичний.  Результати навчання за </w:t>
      </w:r>
      <w:proofErr w:type="spellStart"/>
      <w:r w:rsidRPr="00670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допрофільною</w:t>
      </w:r>
      <w:proofErr w:type="spellEnd"/>
      <w:r w:rsidRPr="006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профільною </w:t>
      </w:r>
      <w:proofErr w:type="spellStart"/>
      <w:r w:rsidRPr="00670E3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підготовками</w:t>
      </w:r>
      <w:proofErr w:type="spellEnd"/>
      <w:r w:rsidRPr="00670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представлено в таблицях 4 та 5.</w:t>
      </w:r>
    </w:p>
    <w:p w:rsidR="00BF5484" w:rsidRPr="00670E30" w:rsidRDefault="00BF5484" w:rsidP="00BF548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0E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Таблиця 4</w:t>
      </w:r>
    </w:p>
    <w:p w:rsidR="00BF5484" w:rsidRPr="00670E30" w:rsidRDefault="00BF5484" w:rsidP="00BF5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E30">
        <w:rPr>
          <w:rFonts w:ascii="Times New Roman" w:hAnsi="Times New Roman" w:cs="Times New Roman"/>
          <w:sz w:val="28"/>
          <w:szCs w:val="28"/>
        </w:rPr>
        <w:t>8-9 класи</w:t>
      </w:r>
    </w:p>
    <w:tbl>
      <w:tblPr>
        <w:tblStyle w:val="a3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1134"/>
        <w:gridCol w:w="1701"/>
        <w:gridCol w:w="992"/>
        <w:gridCol w:w="709"/>
        <w:gridCol w:w="709"/>
        <w:gridCol w:w="705"/>
        <w:gridCol w:w="850"/>
        <w:gridCol w:w="567"/>
        <w:gridCol w:w="709"/>
        <w:gridCol w:w="709"/>
      </w:tblGrid>
      <w:tr w:rsidR="00BF5484" w:rsidRPr="00670E30" w:rsidTr="007F4972">
        <w:trPr>
          <w:trHeight w:val="266"/>
          <w:jc w:val="center"/>
        </w:trPr>
        <w:tc>
          <w:tcPr>
            <w:tcW w:w="708" w:type="dxa"/>
            <w:vMerge w:val="restart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 xml:space="preserve">Клас </w:t>
            </w:r>
          </w:p>
        </w:tc>
        <w:tc>
          <w:tcPr>
            <w:tcW w:w="1134" w:type="dxa"/>
            <w:vMerge w:val="restart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Кількість учнів</w:t>
            </w:r>
          </w:p>
        </w:tc>
        <w:tc>
          <w:tcPr>
            <w:tcW w:w="1701" w:type="dxa"/>
            <w:vMerge w:val="restart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Предмет, який вивчається поглиблено</w:t>
            </w:r>
          </w:p>
        </w:tc>
        <w:tc>
          <w:tcPr>
            <w:tcW w:w="3115" w:type="dxa"/>
            <w:gridSpan w:val="4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Семестрові результати</w:t>
            </w:r>
          </w:p>
        </w:tc>
        <w:tc>
          <w:tcPr>
            <w:tcW w:w="2835" w:type="dxa"/>
            <w:gridSpan w:val="4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Річні результати</w:t>
            </w:r>
          </w:p>
        </w:tc>
      </w:tr>
      <w:tr w:rsidR="00BF5484" w:rsidRPr="00670E30" w:rsidTr="007F4972">
        <w:trPr>
          <w:cantSplit/>
          <w:trHeight w:val="1061"/>
          <w:jc w:val="center"/>
        </w:trPr>
        <w:tc>
          <w:tcPr>
            <w:tcW w:w="708" w:type="dxa"/>
            <w:vMerge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BF5484" w:rsidRPr="00670E30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Початковий рівень</w:t>
            </w:r>
          </w:p>
        </w:tc>
        <w:tc>
          <w:tcPr>
            <w:tcW w:w="1418" w:type="dxa"/>
            <w:gridSpan w:val="2"/>
            <w:textDirection w:val="btLr"/>
          </w:tcPr>
          <w:p w:rsidR="00BF5484" w:rsidRPr="00670E30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 xml:space="preserve">Якість </w:t>
            </w:r>
          </w:p>
        </w:tc>
        <w:tc>
          <w:tcPr>
            <w:tcW w:w="705" w:type="dxa"/>
            <w:textDirection w:val="btLr"/>
          </w:tcPr>
          <w:p w:rsidR="00BF5484" w:rsidRPr="00670E30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Високий рівень</w:t>
            </w:r>
          </w:p>
        </w:tc>
        <w:tc>
          <w:tcPr>
            <w:tcW w:w="850" w:type="dxa"/>
            <w:textDirection w:val="btLr"/>
          </w:tcPr>
          <w:p w:rsidR="00BF5484" w:rsidRPr="00670E30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Початковий рівень</w:t>
            </w:r>
          </w:p>
        </w:tc>
        <w:tc>
          <w:tcPr>
            <w:tcW w:w="1276" w:type="dxa"/>
            <w:gridSpan w:val="2"/>
            <w:textDirection w:val="btLr"/>
          </w:tcPr>
          <w:p w:rsidR="00BF5484" w:rsidRPr="00670E30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 xml:space="preserve">Якість </w:t>
            </w:r>
          </w:p>
        </w:tc>
        <w:tc>
          <w:tcPr>
            <w:tcW w:w="709" w:type="dxa"/>
            <w:textDirection w:val="btLr"/>
          </w:tcPr>
          <w:p w:rsidR="00BF5484" w:rsidRPr="00670E30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Високий рівень</w:t>
            </w:r>
          </w:p>
        </w:tc>
      </w:tr>
      <w:tr w:rsidR="00BF5484" w:rsidRPr="00670E30" w:rsidTr="007F4972">
        <w:trPr>
          <w:trHeight w:val="270"/>
          <w:jc w:val="center"/>
        </w:trPr>
        <w:tc>
          <w:tcPr>
            <w:tcW w:w="708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9-А</w:t>
            </w:r>
          </w:p>
        </w:tc>
        <w:tc>
          <w:tcPr>
            <w:tcW w:w="1134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 xml:space="preserve">Біологія </w:t>
            </w:r>
          </w:p>
        </w:tc>
        <w:tc>
          <w:tcPr>
            <w:tcW w:w="992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0E30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705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70E30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1</w:t>
            </w:r>
          </w:p>
        </w:tc>
      </w:tr>
      <w:tr w:rsidR="00BF5484" w:rsidRPr="00670E30" w:rsidTr="007F4972">
        <w:trPr>
          <w:trHeight w:val="251"/>
          <w:jc w:val="center"/>
        </w:trPr>
        <w:tc>
          <w:tcPr>
            <w:tcW w:w="708" w:type="dxa"/>
            <w:vMerge w:val="restart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9-Б</w:t>
            </w:r>
          </w:p>
        </w:tc>
        <w:tc>
          <w:tcPr>
            <w:tcW w:w="1134" w:type="dxa"/>
            <w:vMerge w:val="restart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Pr="00670E3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05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6</w:t>
            </w:r>
            <w:r w:rsidRPr="00670E30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5484" w:rsidRPr="00670E30" w:rsidTr="007F4972">
        <w:trPr>
          <w:trHeight w:val="251"/>
          <w:jc w:val="center"/>
        </w:trPr>
        <w:tc>
          <w:tcPr>
            <w:tcW w:w="708" w:type="dxa"/>
            <w:vMerge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992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70E30"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705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70E30">
              <w:rPr>
                <w:rFonts w:ascii="Times New Roman" w:hAnsi="Times New Roman" w:cs="Times New Roman"/>
              </w:rPr>
              <w:t>1 %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F5484" w:rsidRPr="00670E30" w:rsidTr="007F4972">
        <w:trPr>
          <w:trHeight w:val="251"/>
          <w:jc w:val="center"/>
        </w:trPr>
        <w:tc>
          <w:tcPr>
            <w:tcW w:w="708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9-В</w:t>
            </w:r>
          </w:p>
        </w:tc>
        <w:tc>
          <w:tcPr>
            <w:tcW w:w="1134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Українська мова</w:t>
            </w:r>
          </w:p>
        </w:tc>
        <w:tc>
          <w:tcPr>
            <w:tcW w:w="992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670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5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670E3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670E3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BF5484" w:rsidRPr="00670E30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F5484" w:rsidRPr="002F1D3A" w:rsidTr="007F4972">
        <w:trPr>
          <w:trHeight w:val="315"/>
          <w:jc w:val="center"/>
        </w:trPr>
        <w:tc>
          <w:tcPr>
            <w:tcW w:w="708" w:type="dxa"/>
            <w:vMerge w:val="restart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8-А</w:t>
            </w:r>
          </w:p>
        </w:tc>
        <w:tc>
          <w:tcPr>
            <w:tcW w:w="1134" w:type="dxa"/>
            <w:vMerge w:val="restart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992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705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2</w:t>
            </w:r>
          </w:p>
        </w:tc>
      </w:tr>
      <w:tr w:rsidR="00BF5484" w:rsidRPr="002F1D3A" w:rsidTr="007F4972">
        <w:trPr>
          <w:trHeight w:val="176"/>
          <w:jc w:val="center"/>
        </w:trPr>
        <w:tc>
          <w:tcPr>
            <w:tcW w:w="708" w:type="dxa"/>
            <w:vMerge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Геометрія</w:t>
            </w:r>
          </w:p>
        </w:tc>
        <w:tc>
          <w:tcPr>
            <w:tcW w:w="992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705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3</w:t>
            </w:r>
          </w:p>
        </w:tc>
      </w:tr>
      <w:tr w:rsidR="00BF5484" w:rsidRPr="002F1D3A" w:rsidTr="007F4972">
        <w:trPr>
          <w:trHeight w:val="267"/>
          <w:jc w:val="center"/>
        </w:trPr>
        <w:tc>
          <w:tcPr>
            <w:tcW w:w="708" w:type="dxa"/>
            <w:vMerge w:val="restart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8-Б</w:t>
            </w:r>
          </w:p>
        </w:tc>
        <w:tc>
          <w:tcPr>
            <w:tcW w:w="1134" w:type="dxa"/>
            <w:vMerge w:val="restart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Історія України</w:t>
            </w:r>
          </w:p>
        </w:tc>
        <w:tc>
          <w:tcPr>
            <w:tcW w:w="992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05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709" w:type="dxa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4</w:t>
            </w:r>
          </w:p>
        </w:tc>
      </w:tr>
      <w:tr w:rsidR="00BF5484" w:rsidRPr="002F1D3A" w:rsidTr="007F4972">
        <w:trPr>
          <w:trHeight w:val="273"/>
          <w:jc w:val="center"/>
        </w:trPr>
        <w:tc>
          <w:tcPr>
            <w:tcW w:w="708" w:type="dxa"/>
            <w:vMerge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Всесвітня історія</w:t>
            </w:r>
          </w:p>
        </w:tc>
        <w:tc>
          <w:tcPr>
            <w:tcW w:w="992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705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BF5484" w:rsidRPr="00CB73B3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CB73B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67%</w:t>
            </w:r>
          </w:p>
        </w:tc>
        <w:tc>
          <w:tcPr>
            <w:tcW w:w="709" w:type="dxa"/>
          </w:tcPr>
          <w:p w:rsidR="00BF5484" w:rsidRPr="000E3208" w:rsidRDefault="00BF5484" w:rsidP="007F4972">
            <w:pPr>
              <w:jc w:val="center"/>
              <w:rPr>
                <w:rFonts w:ascii="Times New Roman" w:hAnsi="Times New Roman" w:cs="Times New Roman"/>
              </w:rPr>
            </w:pPr>
            <w:r w:rsidRPr="000E3208">
              <w:rPr>
                <w:rFonts w:ascii="Times New Roman" w:hAnsi="Times New Roman" w:cs="Times New Roman"/>
              </w:rPr>
              <w:t>3</w:t>
            </w:r>
          </w:p>
        </w:tc>
      </w:tr>
    </w:tbl>
    <w:p w:rsidR="00BF5484" w:rsidRPr="002F1D3A" w:rsidRDefault="00BF5484" w:rsidP="00BF5484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1D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</w:t>
      </w:r>
    </w:p>
    <w:p w:rsidR="00BF5484" w:rsidRPr="002530FB" w:rsidRDefault="00BF5484" w:rsidP="00BF54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1D3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2530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Таблиця 5</w:t>
      </w:r>
    </w:p>
    <w:p w:rsidR="00BF5484" w:rsidRPr="002530FB" w:rsidRDefault="00BF5484" w:rsidP="00BF5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0FB">
        <w:rPr>
          <w:rFonts w:ascii="Times New Roman" w:hAnsi="Times New Roman" w:cs="Times New Roman"/>
          <w:sz w:val="28"/>
          <w:szCs w:val="28"/>
        </w:rPr>
        <w:t>10-11 класи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50"/>
        <w:gridCol w:w="851"/>
        <w:gridCol w:w="1984"/>
        <w:gridCol w:w="709"/>
        <w:gridCol w:w="709"/>
        <w:gridCol w:w="850"/>
        <w:gridCol w:w="709"/>
        <w:gridCol w:w="709"/>
        <w:gridCol w:w="769"/>
        <w:gridCol w:w="790"/>
        <w:gridCol w:w="846"/>
      </w:tblGrid>
      <w:tr w:rsidR="00BF5484" w:rsidRPr="002530FB" w:rsidTr="007F4972">
        <w:trPr>
          <w:trHeight w:val="266"/>
          <w:jc w:val="center"/>
        </w:trPr>
        <w:tc>
          <w:tcPr>
            <w:tcW w:w="850" w:type="dxa"/>
            <w:vMerge w:val="restart"/>
          </w:tcPr>
          <w:p w:rsidR="00BF5484" w:rsidRPr="002530FB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B">
              <w:rPr>
                <w:rFonts w:ascii="Times New Roman" w:hAnsi="Times New Roman" w:cs="Times New Roman"/>
                <w:sz w:val="24"/>
                <w:szCs w:val="24"/>
              </w:rPr>
              <w:t xml:space="preserve">Клас </w:t>
            </w:r>
          </w:p>
        </w:tc>
        <w:tc>
          <w:tcPr>
            <w:tcW w:w="851" w:type="dxa"/>
            <w:vMerge w:val="restart"/>
          </w:tcPr>
          <w:p w:rsidR="00BF5484" w:rsidRPr="002530FB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B">
              <w:rPr>
                <w:rFonts w:ascii="Times New Roman" w:hAnsi="Times New Roman" w:cs="Times New Roman"/>
                <w:sz w:val="24"/>
                <w:szCs w:val="24"/>
              </w:rPr>
              <w:t>Кількість учнів</w:t>
            </w:r>
          </w:p>
        </w:tc>
        <w:tc>
          <w:tcPr>
            <w:tcW w:w="1984" w:type="dxa"/>
            <w:vMerge w:val="restart"/>
          </w:tcPr>
          <w:p w:rsidR="00BF5484" w:rsidRPr="002530FB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B">
              <w:rPr>
                <w:rFonts w:ascii="Times New Roman" w:hAnsi="Times New Roman" w:cs="Times New Roman"/>
                <w:sz w:val="24"/>
                <w:szCs w:val="24"/>
              </w:rPr>
              <w:t xml:space="preserve">Профільний предмет </w:t>
            </w:r>
          </w:p>
        </w:tc>
        <w:tc>
          <w:tcPr>
            <w:tcW w:w="2977" w:type="dxa"/>
            <w:gridSpan w:val="4"/>
          </w:tcPr>
          <w:p w:rsidR="00BF5484" w:rsidRPr="002530FB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B">
              <w:rPr>
                <w:rFonts w:ascii="Times New Roman" w:hAnsi="Times New Roman" w:cs="Times New Roman"/>
                <w:sz w:val="24"/>
                <w:szCs w:val="24"/>
              </w:rPr>
              <w:t>Семестрові результати</w:t>
            </w:r>
          </w:p>
        </w:tc>
        <w:tc>
          <w:tcPr>
            <w:tcW w:w="3114" w:type="dxa"/>
            <w:gridSpan w:val="4"/>
          </w:tcPr>
          <w:p w:rsidR="00BF5484" w:rsidRPr="002530FB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B">
              <w:rPr>
                <w:rFonts w:ascii="Times New Roman" w:hAnsi="Times New Roman" w:cs="Times New Roman"/>
                <w:sz w:val="24"/>
                <w:szCs w:val="24"/>
              </w:rPr>
              <w:t>Річні результати</w:t>
            </w:r>
          </w:p>
        </w:tc>
      </w:tr>
      <w:tr w:rsidR="00BF5484" w:rsidRPr="002530FB" w:rsidTr="007F4972">
        <w:trPr>
          <w:cantSplit/>
          <w:trHeight w:val="1591"/>
          <w:jc w:val="center"/>
        </w:trPr>
        <w:tc>
          <w:tcPr>
            <w:tcW w:w="850" w:type="dxa"/>
            <w:vMerge/>
          </w:tcPr>
          <w:p w:rsidR="00BF5484" w:rsidRPr="002530FB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5484" w:rsidRPr="002530FB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BF5484" w:rsidRPr="002530FB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BF5484" w:rsidRPr="002530FB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B">
              <w:rPr>
                <w:rFonts w:ascii="Times New Roman" w:hAnsi="Times New Roman" w:cs="Times New Roman"/>
                <w:sz w:val="24"/>
                <w:szCs w:val="24"/>
              </w:rPr>
              <w:t>Початковий рівень</w:t>
            </w:r>
          </w:p>
        </w:tc>
        <w:tc>
          <w:tcPr>
            <w:tcW w:w="1559" w:type="dxa"/>
            <w:gridSpan w:val="2"/>
            <w:textDirection w:val="btLr"/>
          </w:tcPr>
          <w:p w:rsidR="00BF5484" w:rsidRPr="002530FB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B">
              <w:rPr>
                <w:rFonts w:ascii="Times New Roman" w:hAnsi="Times New Roman" w:cs="Times New Roman"/>
                <w:sz w:val="24"/>
                <w:szCs w:val="24"/>
              </w:rPr>
              <w:t xml:space="preserve">Якість </w:t>
            </w:r>
          </w:p>
        </w:tc>
        <w:tc>
          <w:tcPr>
            <w:tcW w:w="709" w:type="dxa"/>
            <w:textDirection w:val="btLr"/>
          </w:tcPr>
          <w:p w:rsidR="00BF5484" w:rsidRPr="002530FB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B">
              <w:rPr>
                <w:rFonts w:ascii="Times New Roman" w:hAnsi="Times New Roman" w:cs="Times New Roman"/>
                <w:sz w:val="24"/>
                <w:szCs w:val="24"/>
              </w:rPr>
              <w:t>Високий рівень</w:t>
            </w:r>
          </w:p>
        </w:tc>
        <w:tc>
          <w:tcPr>
            <w:tcW w:w="709" w:type="dxa"/>
            <w:textDirection w:val="btLr"/>
          </w:tcPr>
          <w:p w:rsidR="00BF5484" w:rsidRPr="002530FB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B">
              <w:rPr>
                <w:rFonts w:ascii="Times New Roman" w:hAnsi="Times New Roman" w:cs="Times New Roman"/>
                <w:sz w:val="24"/>
                <w:szCs w:val="24"/>
              </w:rPr>
              <w:t>Початковий рівень</w:t>
            </w:r>
          </w:p>
        </w:tc>
        <w:tc>
          <w:tcPr>
            <w:tcW w:w="1559" w:type="dxa"/>
            <w:gridSpan w:val="2"/>
            <w:textDirection w:val="btLr"/>
          </w:tcPr>
          <w:p w:rsidR="00BF5484" w:rsidRPr="002530FB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B">
              <w:rPr>
                <w:rFonts w:ascii="Times New Roman" w:hAnsi="Times New Roman" w:cs="Times New Roman"/>
                <w:sz w:val="24"/>
                <w:szCs w:val="24"/>
              </w:rPr>
              <w:t xml:space="preserve">Якість </w:t>
            </w:r>
          </w:p>
        </w:tc>
        <w:tc>
          <w:tcPr>
            <w:tcW w:w="846" w:type="dxa"/>
            <w:textDirection w:val="btLr"/>
          </w:tcPr>
          <w:p w:rsidR="00BF5484" w:rsidRPr="002530FB" w:rsidRDefault="00BF5484" w:rsidP="007F49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0FB">
              <w:rPr>
                <w:rFonts w:ascii="Times New Roman" w:hAnsi="Times New Roman" w:cs="Times New Roman"/>
                <w:sz w:val="24"/>
                <w:szCs w:val="24"/>
              </w:rPr>
              <w:t>Високий рівень</w:t>
            </w:r>
          </w:p>
        </w:tc>
      </w:tr>
      <w:tr w:rsidR="00BF5484" w:rsidRPr="002F1D3A" w:rsidTr="007F4972">
        <w:trPr>
          <w:trHeight w:val="266"/>
          <w:jc w:val="center"/>
        </w:trPr>
        <w:tc>
          <w:tcPr>
            <w:tcW w:w="850" w:type="dxa"/>
            <w:vMerge w:val="restart"/>
          </w:tcPr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851" w:type="dxa"/>
            <w:vMerge w:val="restart"/>
          </w:tcPr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0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84" w:rsidRPr="002F1D3A" w:rsidTr="007F4972">
        <w:trPr>
          <w:trHeight w:val="271"/>
          <w:jc w:val="center"/>
        </w:trPr>
        <w:tc>
          <w:tcPr>
            <w:tcW w:w="850" w:type="dxa"/>
            <w:vMerge/>
          </w:tcPr>
          <w:p w:rsidR="00BF5484" w:rsidRPr="002F1D3A" w:rsidRDefault="00BF5484" w:rsidP="007F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5484" w:rsidRPr="002F1D3A" w:rsidRDefault="00BF5484" w:rsidP="007F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6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484" w:rsidRPr="002F1D3A" w:rsidTr="007F4972">
        <w:trPr>
          <w:trHeight w:val="205"/>
          <w:jc w:val="center"/>
        </w:trPr>
        <w:tc>
          <w:tcPr>
            <w:tcW w:w="850" w:type="dxa"/>
            <w:vMerge w:val="restart"/>
          </w:tcPr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851" w:type="dxa"/>
            <w:vMerge w:val="restart"/>
          </w:tcPr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46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484" w:rsidRPr="002F1D3A" w:rsidTr="007F4972">
        <w:trPr>
          <w:trHeight w:val="251"/>
          <w:jc w:val="center"/>
        </w:trPr>
        <w:tc>
          <w:tcPr>
            <w:tcW w:w="850" w:type="dxa"/>
            <w:vMerge/>
          </w:tcPr>
          <w:p w:rsidR="00BF5484" w:rsidRPr="002F1D3A" w:rsidRDefault="00BF5484" w:rsidP="007F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F5484" w:rsidRPr="002F1D3A" w:rsidRDefault="00BF5484" w:rsidP="007F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709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46" w:type="dxa"/>
          </w:tcPr>
          <w:p w:rsidR="00BF5484" w:rsidRPr="00DB04A8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4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5484" w:rsidRPr="002F1D3A" w:rsidTr="007F4972">
        <w:trPr>
          <w:trHeight w:val="273"/>
          <w:jc w:val="center"/>
        </w:trPr>
        <w:tc>
          <w:tcPr>
            <w:tcW w:w="850" w:type="dxa"/>
            <w:vMerge w:val="restart"/>
          </w:tcPr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0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846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5484" w:rsidRPr="002F1D3A" w:rsidTr="007F4972">
        <w:trPr>
          <w:trHeight w:val="273"/>
          <w:jc w:val="center"/>
        </w:trPr>
        <w:tc>
          <w:tcPr>
            <w:tcW w:w="850" w:type="dxa"/>
            <w:vMerge/>
          </w:tcPr>
          <w:p w:rsidR="00BF5484" w:rsidRPr="002F1D3A" w:rsidRDefault="00BF5484" w:rsidP="007F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F5484" w:rsidRPr="002F1D3A" w:rsidRDefault="00BF5484" w:rsidP="007F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2F1D3A" w:rsidRDefault="00BF5484" w:rsidP="007F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0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6" w:type="dxa"/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F5484" w:rsidRPr="002F1D3A" w:rsidTr="007F4972">
        <w:trPr>
          <w:trHeight w:val="198"/>
          <w:jc w:val="center"/>
        </w:trPr>
        <w:tc>
          <w:tcPr>
            <w:tcW w:w="850" w:type="dxa"/>
            <w:vMerge w:val="restart"/>
          </w:tcPr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984" w:type="dxa"/>
          </w:tcPr>
          <w:p w:rsidR="00BF5484" w:rsidRPr="00E10D8D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5484" w:rsidRPr="002F1D3A" w:rsidTr="007F4972">
        <w:trPr>
          <w:trHeight w:val="267"/>
          <w:jc w:val="center"/>
        </w:trPr>
        <w:tc>
          <w:tcPr>
            <w:tcW w:w="850" w:type="dxa"/>
            <w:vMerge/>
          </w:tcPr>
          <w:p w:rsidR="00BF5484" w:rsidRPr="002F1D3A" w:rsidRDefault="00BF5484" w:rsidP="007F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BF5484" w:rsidRPr="002F1D3A" w:rsidRDefault="00BF5484" w:rsidP="007F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5484" w:rsidRPr="002F1D3A" w:rsidRDefault="00BF5484" w:rsidP="007F49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0D8D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84" w:rsidRPr="000967AC" w:rsidRDefault="00BF5484" w:rsidP="007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BF5484" w:rsidRPr="00F85C23" w:rsidRDefault="00BF5484" w:rsidP="00BF54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23">
        <w:rPr>
          <w:rFonts w:ascii="Times New Roman" w:eastAsia="Times New Roman" w:hAnsi="Times New Roman" w:cs="Times New Roman"/>
          <w:sz w:val="28"/>
          <w:szCs w:val="28"/>
          <w:lang w:eastAsia="ru-RU"/>
        </w:rPr>
        <w:t>З таблиць видно, що учні, які навчаються в цих класах мають результати, які відповідають Положенню про класи з поглибленим вивченням окремих предметів у КУ Сумській ЗОШ № 12.</w:t>
      </w:r>
    </w:p>
    <w:p w:rsidR="00BF5484" w:rsidRPr="00F85C23" w:rsidRDefault="00BF5484" w:rsidP="00BF54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C2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Положенням про золоту медаль «За високі досягнення у навчанні» та срібну медаль «За досягнення у навчанні»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</w:t>
      </w:r>
      <w:r w:rsidRPr="00F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рішенням педагогічної ради (протокол № 1 від 09.01.2020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85C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динядцятикласники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Гришин Артем Олександрович та  </w:t>
      </w:r>
      <w:proofErr w:type="spellStart"/>
      <w:r w:rsidRPr="00F85C2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Алексенко</w:t>
      </w:r>
      <w:proofErr w:type="spellEnd"/>
      <w:r w:rsidRPr="00F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Дмитро В’ячеславович за результатами семестрового та річного оцінювання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залишаються</w:t>
      </w:r>
      <w:r w:rsidRPr="00F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на нагородження золотою медаллю срібною медаллю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</w:t>
      </w:r>
      <w:r w:rsidRPr="00F85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Ці учні зареєструвались для складання зовнішнього незалежного оцінювання, результати якого зараховуються як державна підсумкова атестація. </w:t>
      </w:r>
    </w:p>
    <w:p w:rsidR="00BF5484" w:rsidRPr="002F1D3A" w:rsidRDefault="00BF5484" w:rsidP="00502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027D9" w:rsidRDefault="005027D9" w:rsidP="005027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Висновок: - ви</w:t>
      </w:r>
      <w:r w:rsidR="00BF5484" w:rsidRPr="00467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знати роботу педагогічного колективу над підвищенням результативності навчальних досягнень учнів у 2019-2020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навчального року задовільною;</w:t>
      </w:r>
    </w:p>
    <w:p w:rsidR="00BF5484" w:rsidRPr="005027D9" w:rsidRDefault="005027D9" w:rsidP="005027D9">
      <w:pPr>
        <w:pStyle w:val="a5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</w:t>
      </w:r>
      <w:r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</w:t>
      </w:r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асним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керівникам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5-11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2020-2021 навчальному році направити роботу на співпрацю </w:t>
      </w:r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учителями-предметниками, батьками,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інформуючи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дітей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запрошувати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індивідуальну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розмову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тих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чиї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діти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знизили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результати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відповідний навчальний період.</w:t>
      </w:r>
    </w:p>
    <w:p w:rsidR="00BF5484" w:rsidRPr="005027D9" w:rsidRDefault="005027D9" w:rsidP="005027D9">
      <w:pPr>
        <w:pStyle w:val="a5"/>
        <w:numPr>
          <w:ilvl w:val="0"/>
          <w:numId w:val="2"/>
        </w:numPr>
        <w:tabs>
          <w:tab w:val="num" w:pos="0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F5484" w:rsidRP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29.07.2020 проаналізувати результати державних підсумкових атестацій, з метою прийняття рішення педагогічною радою щодо підтвердження чи спростування права учнів 11-ого класу Гришина Артема Олександровича та </w:t>
      </w:r>
      <w:proofErr w:type="spellStart"/>
      <w:r w:rsidR="00BF5484" w:rsidRP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Алексенка</w:t>
      </w:r>
      <w:proofErr w:type="spellEnd"/>
      <w:r w:rsidR="00BF5484" w:rsidRPr="00502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Дмитра В’ячеславовича на нагородження золотою та срібною медалями відповідно.</w:t>
      </w:r>
    </w:p>
    <w:p w:rsidR="005027D9" w:rsidRDefault="005027D9" w:rsidP="00BF548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484" w:rsidRPr="0046752B" w:rsidRDefault="00BF5484" w:rsidP="00BF5484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67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школи                                               </w:t>
      </w:r>
      <w:proofErr w:type="spellStart"/>
      <w:r w:rsidRPr="0046752B">
        <w:rPr>
          <w:rFonts w:ascii="Times New Roman" w:eastAsia="Times New Roman" w:hAnsi="Times New Roman" w:cs="Times New Roman"/>
          <w:sz w:val="28"/>
          <w:szCs w:val="28"/>
          <w:lang w:eastAsia="ru-RU"/>
        </w:rPr>
        <w:t>І.О.Губська</w:t>
      </w:r>
      <w:proofErr w:type="spellEnd"/>
    </w:p>
    <w:p w:rsidR="00BF5484" w:rsidRPr="007C7B9F" w:rsidRDefault="00BF5484" w:rsidP="00BF5484"/>
    <w:p w:rsidR="00BF5484" w:rsidRPr="007C7B9F" w:rsidRDefault="00BF5484" w:rsidP="00BF5484"/>
    <w:p w:rsidR="00BF5484" w:rsidRPr="007C7B9F" w:rsidRDefault="00BF5484" w:rsidP="00BF5484"/>
    <w:p w:rsidR="00BF5484" w:rsidRDefault="00BF5484" w:rsidP="00BF5484"/>
    <w:p w:rsidR="00BF5484" w:rsidRDefault="00BF5484" w:rsidP="00BF5484"/>
    <w:p w:rsidR="009247CA" w:rsidRDefault="009247CA"/>
    <w:sectPr w:rsidR="009247CA" w:rsidSect="005A02A9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FC0"/>
    <w:multiLevelType w:val="multilevel"/>
    <w:tmpl w:val="791ED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5B021398"/>
    <w:multiLevelType w:val="hybridMultilevel"/>
    <w:tmpl w:val="467EC390"/>
    <w:lvl w:ilvl="0" w:tplc="437E9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84"/>
    <w:rsid w:val="005027D9"/>
    <w:rsid w:val="009247CA"/>
    <w:rsid w:val="00B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1D3F"/>
  <w15:chartTrackingRefBased/>
  <w15:docId w15:val="{267B3B82-451A-4001-BB0B-9960F2BB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48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548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548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0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Ser_osv/65481/" TargetMode="External"/><Relationship Id="rId5" Type="http://schemas.openxmlformats.org/officeDocument/2006/relationships/hyperlink" Target="https://osvita.ua/legislation/Ser_osv/617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5317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2020-06-16T10:32:00Z</dcterms:created>
  <dcterms:modified xsi:type="dcterms:W3CDTF">2020-06-16T12:15:00Z</dcterms:modified>
</cp:coreProperties>
</file>