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46" w:rsidRPr="00CE4646" w:rsidRDefault="00CE4646" w:rsidP="00214C6B">
      <w:pPr>
        <w:shd w:val="clear" w:color="auto" w:fill="FFFFFF" w:themeFill="background1"/>
        <w:spacing w:before="225" w:after="30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</w:pPr>
      <w:proofErr w:type="spellStart"/>
      <w:proofErr w:type="gram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школі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: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допоможіть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дитині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впоратися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постійним</w:t>
      </w:r>
      <w:proofErr w:type="spellEnd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auto"/>
          <w:kern w:val="36"/>
          <w:sz w:val="47"/>
          <w:szCs w:val="47"/>
          <w:lang w:val="ru-RU" w:eastAsia="ru-RU" w:bidi="ar-SA"/>
        </w:rPr>
        <w:t>цькуванням</w:t>
      </w:r>
      <w:proofErr w:type="spellEnd"/>
    </w:p>
    <w:p w:rsidR="00CE4646" w:rsidRPr="00CE4646" w:rsidRDefault="00CE4646" w:rsidP="00214C6B">
      <w:pPr>
        <w:spacing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«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Мій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син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ненавидить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ходити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школи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бо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хлопчик</w:t>
      </w:r>
      <w:proofErr w:type="gram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який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дражнить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знущається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над ним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щодня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я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можу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зробити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як мама? Я не хочу,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аби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мій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син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страждав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».</w:t>
      </w:r>
    </w:p>
    <w:p w:rsidR="00CE4646" w:rsidRPr="00CE4646" w:rsidRDefault="00CE4646" w:rsidP="00214C6B">
      <w:pPr>
        <w:spacing w:after="0" w:line="240" w:lineRule="auto"/>
        <w:ind w:left="0"/>
        <w:jc w:val="righ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Ольга Н., Полтава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       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Такі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питання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сьогодні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на жаль,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непоодинокі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Позитив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тому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проблему (яка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завжди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) почали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обговорювати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Найчастіше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такими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питаннями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читаєш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однотипні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відповіді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: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самотужки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впоратись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хуліганом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поговорити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батьками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багато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іншого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Але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універсальний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план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коли ваша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стала жертвою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?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proofErr w:type="gramStart"/>
      <w:r w:rsidRPr="00CE4646">
        <w:rPr>
          <w:rFonts w:ascii="Arial" w:eastAsia="Times New Roman" w:hAnsi="Arial" w:cs="Arial"/>
          <w:b/>
          <w:bCs/>
          <w:i/>
          <w:iCs/>
          <w:color w:val="333333"/>
          <w:sz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b/>
          <w:bCs/>
          <w:i/>
          <w:iCs/>
          <w:color w:val="333333"/>
          <w:sz w:val="26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 –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прояв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агресії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подальшим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залякуванням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особистості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появою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можливості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її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повного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підпорядкування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собі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своїм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інтересам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67%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дітей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Україні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віці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11 до 17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зазнали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цькування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(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) за три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місяці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весни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2017 року.</w:t>
      </w:r>
    </w:p>
    <w:p w:rsidR="00CE4646" w:rsidRPr="00CE4646" w:rsidRDefault="00CE4646" w:rsidP="00214C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24%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дітей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стали жертвами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48%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них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нікому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розказували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випадки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статистичні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дані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 </w:t>
      </w:r>
      <w:hyperlink r:id="rId5" w:history="1">
        <w:r w:rsidRPr="00CE4646">
          <w:rPr>
            <w:rFonts w:ascii="Arial" w:eastAsia="Times New Roman" w:hAnsi="Arial" w:cs="Arial"/>
            <w:color w:val="2979FF"/>
            <w:sz w:val="26"/>
            <w:u w:val="single"/>
            <w:lang w:val="ru-RU" w:eastAsia="ru-RU" w:bidi="ar-SA"/>
          </w:rPr>
          <w:t>ЮНІСЕФ</w:t>
        </w:r>
      </w:hyperlink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зібрані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 у рамках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програми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«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Викресли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»,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головна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мета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полягала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приверненні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уваги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проблеми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вражаючі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факти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найгірше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те,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багато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досі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сприймає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випадки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як «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прояв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дорослішання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».</w:t>
      </w:r>
    </w:p>
    <w:p w:rsidR="00CE4646" w:rsidRPr="00CE4646" w:rsidRDefault="00CE4646" w:rsidP="00214C6B">
      <w:pPr>
        <w:shd w:val="clear" w:color="auto" w:fill="FFFFFF"/>
        <w:spacing w:before="375"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proofErr w:type="gram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Р</w:t>
      </w:r>
      <w:proofErr w:type="gram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ізновиди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булінгу</w:t>
      </w:r>
      <w:proofErr w:type="spellEnd"/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Прийнято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вважати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лише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моральне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інколи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пригноблення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слабшого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але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все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набагато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складніше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Уже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сьогодні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виділяють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чотири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ізновиди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:</w:t>
      </w:r>
    </w:p>
    <w:p w:rsidR="00CE4646" w:rsidRPr="00CE4646" w:rsidRDefault="00CE4646" w:rsidP="00214C6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Вербальний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(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словесний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).</w:t>
      </w:r>
    </w:p>
    <w:p w:rsidR="00CE4646" w:rsidRPr="00CE4646" w:rsidRDefault="00CE4646" w:rsidP="00214C6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Соц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іальний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Кібербулінг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Кожен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них ми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розглянемо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більш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ретельно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наступних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статтях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зараз же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мова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йтиме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вербальний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частково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кожен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них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однаково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неприйнятний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жорстокий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відношенню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будь-якої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before="375"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Словесний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інг</w:t>
      </w:r>
      <w:proofErr w:type="spellEnd"/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    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ізні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своїм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характером,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багато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хто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чутливий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досить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близько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сприймає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слова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серця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на жаль,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такі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школярі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найчастіше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стають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жертвами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цькування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Знущання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над ними приносить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задоволення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агресору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особливо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він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щасливий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коли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зміг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довести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сліз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   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говорять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: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залякування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погрози,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образливі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коментарі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стосовно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жертви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когось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близьких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(про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зовнішність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одяг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рел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ігію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фізіологічні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особливості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тощо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).</w:t>
      </w:r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   </w:t>
      </w:r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Як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розпізнати</w:t>
      </w:r>
      <w:proofErr w:type="spellEnd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жертву?</w:t>
      </w:r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 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замикається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собі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плаче без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пояснень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втрачає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апетит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не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цікавиться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звичайними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для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речами,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стає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флегматичною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насилля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тривале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то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значно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віддаляється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родини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часто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гуляє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наодинці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з'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являється</w:t>
      </w:r>
      <w:proofErr w:type="spellEnd"/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агресія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разі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відвертої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розмови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відкритися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розказати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образу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запитати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правдою,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нього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сказали.</w:t>
      </w:r>
    </w:p>
    <w:p w:rsidR="00214C6B" w:rsidRDefault="00214C6B" w:rsidP="00214C6B">
      <w:pPr>
        <w:shd w:val="clear" w:color="auto" w:fill="FFFFFF"/>
        <w:spacing w:before="375" w:after="188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</w:p>
    <w:p w:rsidR="00CE4646" w:rsidRPr="00CE4646" w:rsidRDefault="00CE4646" w:rsidP="00214C6B">
      <w:pPr>
        <w:shd w:val="clear" w:color="auto" w:fill="FFFFFF"/>
        <w:spacing w:before="375" w:after="188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lastRenderedPageBreak/>
        <w:t>Фізичний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інг</w:t>
      </w:r>
      <w:proofErr w:type="spellEnd"/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     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прояв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агресивного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залякування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використання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фізичної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сили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Найчастіше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застосовується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слабших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дітей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Мають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місце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факти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колективного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коли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змушена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протистояти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цілому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класові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який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штовхає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б'є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  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роблять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: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стусани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ідніжки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блокування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відбирання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речей,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дотики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неналежним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чином.</w:t>
      </w:r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    </w:t>
      </w:r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Як </w:t>
      </w:r>
      <w:proofErr w:type="spellStart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розпізнати</w:t>
      </w:r>
      <w:proofErr w:type="spellEnd"/>
      <w:r w:rsidR="00CE4646"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жертву?</w:t>
      </w:r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 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Найчастіше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говорять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особливо хлопчики,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здатися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слабкими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Не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ігноруйте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сина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дочки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з'явились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подряпини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синці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рваний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одяг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зіпсоване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шкі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льне</w:t>
      </w:r>
      <w:proofErr w:type="spellEnd"/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приладдя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Звертайте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увагу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скарги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біль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животі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голові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Він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бути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фізичним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психосоматичним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небажання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знову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 стати жертвою.</w:t>
      </w:r>
    </w:p>
    <w:p w:rsidR="00CE4646" w:rsidRDefault="00CE4646" w:rsidP="00214C6B">
      <w:pPr>
        <w:shd w:val="clear" w:color="auto" w:fill="FFFFFF"/>
        <w:spacing w:before="375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Допомога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дитині</w:t>
      </w:r>
      <w:proofErr w:type="spellEnd"/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       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Хуліганство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важко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сприймається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будь-якому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віці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а особливо 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дитячому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ідлітковому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Перше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можна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зробити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для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своєї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дати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зрозуміти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проблеми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хвилюють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вас. Не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залишайте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наодинці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ситуацією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адже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шлях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деформації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особистості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214C6B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      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Важливо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ідліток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розповів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те,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коїться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(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інколи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навіть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вислухати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корисним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), 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отриманої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інформації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необхідно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робити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висновки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Контролюйте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ситуацію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вчасно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втрутитися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її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перебіг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суперечки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 просто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дитячі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негаразди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дійсно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звертайтесь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керівника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шкільного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психолога.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Увага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!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Фізичне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насилля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вимагає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негайного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втручання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</w:t>
      </w:r>
      <w:proofErr w:type="spellEnd"/>
      <w:r w:rsidR="00CE4646"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!</w:t>
      </w:r>
    </w:p>
    <w:p w:rsidR="00CE4646" w:rsidRPr="00CE4646" w:rsidRDefault="00214C6B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   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Уникай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агресора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йди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геть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чи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жартуй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–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це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зупинить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противника,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адже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його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мета –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роздратувати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та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зачепити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за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живе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.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Систематичне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ігнорування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розчарує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його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і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змусить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зупинитися</w:t>
      </w:r>
      <w:proofErr w:type="spellEnd"/>
      <w:r w:rsidR="00CE4646"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.</w:t>
      </w:r>
    </w:p>
    <w:p w:rsidR="00CE4646" w:rsidRPr="00214C6B" w:rsidRDefault="00CE4646" w:rsidP="00214C6B">
      <w:pPr>
        <w:shd w:val="clear" w:color="auto" w:fill="FFFFFF"/>
        <w:spacing w:before="375" w:line="240" w:lineRule="auto"/>
        <w:ind w:left="0"/>
        <w:outlineLvl w:val="2"/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</w:pPr>
      <w:proofErr w:type="spellStart"/>
      <w:proofErr w:type="gramStart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>Бул</w:t>
      </w:r>
      <w:proofErr w:type="gramEnd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>інгу</w:t>
      </w:r>
      <w:proofErr w:type="spellEnd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>можна</w:t>
      </w:r>
      <w:proofErr w:type="spellEnd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>протистояти</w:t>
      </w:r>
      <w:proofErr w:type="spellEnd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 xml:space="preserve">: 6 </w:t>
      </w:r>
      <w:proofErr w:type="spellStart"/>
      <w:r w:rsidRPr="00214C6B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val="ru-RU" w:eastAsia="ru-RU" w:bidi="ar-SA"/>
        </w:rPr>
        <w:t>способів</w:t>
      </w:r>
      <w:proofErr w:type="spellEnd"/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Пропонуємо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вашій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увазі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п’ять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стратегій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які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допоможуть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вберегти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дитину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від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цькування</w:t>
      </w:r>
      <w:proofErr w:type="spellEnd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214C6B">
        <w:rPr>
          <w:rFonts w:ascii="Arial" w:eastAsia="Times New Roman" w:hAnsi="Arial" w:cs="Arial"/>
          <w:i/>
          <w:color w:val="333333"/>
          <w:sz w:val="26"/>
          <w:szCs w:val="26"/>
          <w:lang w:val="ru-RU" w:eastAsia="ru-RU" w:bidi="ar-SA"/>
        </w:rPr>
        <w:t>або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ж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припинити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почався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1.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Говоріть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про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Станьте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ближче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дітей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розкажіть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цькування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яке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могло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бути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вашому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минулому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ісля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вашої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відвертості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відкрилась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поділилась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проблемою, не забудьте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похвалити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адже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така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потребує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сміливості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Поговоріть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класним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керівником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з’ясувати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яким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чином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навчальний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заклад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вплинути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2. Продумайте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захисні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слова</w:t>
      </w: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Придумайте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декілька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фраз, типу: «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Відчепися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», «Дай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мені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спокій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»,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або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більш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влучні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3.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Нейтралізуйте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приманку</w:t>
      </w: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існує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певний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фактор,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привертає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увагу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агресорів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спробуйте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по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можливості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прибрати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подразник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Наприклад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забирають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гроші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запакуйте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собою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обід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4.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Порадьте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зібрати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однодумців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Нагадайте,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компанію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двох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трьох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ідлітків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чіпатимуть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меншою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вірогідністю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ніж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тих,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тримаються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одинаками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Коли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проблемна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краще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триматися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разом.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5.</w:t>
      </w: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 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Зберігайте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спокій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бережіть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себе</w:t>
      </w: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хуліган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образить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інколи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кращий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захист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зберігати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спокій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Подіяти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ігнорування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реакція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яку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менш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 все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чекають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6. Не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з’ясовуйте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стосунків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26"/>
          <w:lang w:val="ru-RU" w:eastAsia="ru-RU" w:bidi="ar-SA"/>
        </w:rPr>
        <w:t>самостійно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Звісно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перше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бажання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розібратися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хуліганом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змусити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ідповідати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свої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в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ідеалі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притягти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відповідальності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Але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погана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ідея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хочете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говорити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ними, то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робіть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lastRenderedPageBreak/>
        <w:t>посередником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хтось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адміністрації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психолог.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разі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фізичного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насилля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–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звертайтесь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правоохоронних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органів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before="375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proofErr w:type="gram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інг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байдужість</w:t>
      </w:r>
      <w:proofErr w:type="spellEnd"/>
    </w:p>
    <w:p w:rsidR="00CE4646" w:rsidRPr="00CE4646" w:rsidRDefault="00CE4646" w:rsidP="00214C6B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завжди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зна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,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хто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причини став жертвою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цькування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можуть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бути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учасниками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конфлікту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можуть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засуджувати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можуть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бути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сторонніми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глядачами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Останній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варіант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не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найгірший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адже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через страх самому стати жертвою, вони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дозволяють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своїх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очах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пригноблювати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іншого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Така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поведінка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показовим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прикладом прогалин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вихованні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почуття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власної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гідності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про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важливість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варто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говорити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якомога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част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Але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найбільш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болючою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батьківська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байдужість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Часто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звертаються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скаргами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образи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отримують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наступну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реакцію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: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Розбирайся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сам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своїми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проблемами.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Я не буду до 11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класу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витирати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твої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шмарклі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!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Сам винен!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Скажи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вчителю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, </w:t>
      </w:r>
      <w:proofErr w:type="gram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хай</w:t>
      </w:r>
      <w:proofErr w:type="gram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він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розбирається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Не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зважай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вони</w:t>
      </w:r>
      <w:proofErr w:type="gram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припинять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9F7F4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Дай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здачі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 xml:space="preserve">, не будь </w:t>
      </w:r>
      <w:proofErr w:type="spellStart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тюхтієм</w:t>
      </w:r>
      <w:proofErr w:type="spellEnd"/>
      <w:r w:rsidRPr="00CE4646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Дехто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захоче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одразу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розібратися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образами,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з'ясувати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стосунки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батьками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агресора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покарати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І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лише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деякі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чинитимуть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так, як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краще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для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дитини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Зверніть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увагу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батьківська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байдужість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ранити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сильніше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образи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булера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before="375" w:after="188" w:line="240" w:lineRule="auto"/>
        <w:ind w:left="0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робити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вчителю</w:t>
      </w:r>
      <w:proofErr w:type="spellEnd"/>
      <w:r w:rsidRPr="00CE4646">
        <w:rPr>
          <w:rFonts w:ascii="Arial" w:eastAsia="Times New Roman" w:hAnsi="Arial" w:cs="Arial"/>
          <w:b/>
          <w:bCs/>
          <w:color w:val="333333"/>
          <w:sz w:val="40"/>
          <w:szCs w:val="40"/>
          <w:lang w:val="ru-RU" w:eastAsia="ru-RU" w:bidi="ar-SA"/>
        </w:rPr>
        <w:t>?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жаль,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період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педагогічної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практики кожному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вчителю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доведеться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зіткнутися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цією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проблемою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цьому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разі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важливо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правильно повести себе,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адже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руках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вчителя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можливість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звести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конфлікт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нанівець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чи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розпалити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його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новою силою.</w:t>
      </w:r>
    </w:p>
    <w:p w:rsidR="00CE4646" w:rsidRPr="00CE4646" w:rsidRDefault="00CE4646" w:rsidP="00214C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шукайте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винного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.Д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опоможіть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проявити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турботу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про того, кого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ображають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приховуйте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випадки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бул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інгу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в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класі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заради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збереження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репутації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школи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Доведіть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відома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батьків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дітей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обох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сторін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конфлікту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Звертайтесь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шкільного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психолога за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консультацією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залишайте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справу, як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,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надії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що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виправиться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самотужки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Не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виправиться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CE4646" w:rsidRPr="00CE4646" w:rsidRDefault="00CE4646" w:rsidP="00214C6B">
      <w:p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</w:pP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Агресор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жертва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мають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приблизно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однакові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стартові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позиції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,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які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привели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їх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до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.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Невпевненість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собі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одного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бажання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ствердитись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за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рахунок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слабшого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проти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невпевненості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собі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та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відсутності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можливості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постояти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за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себе. У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цій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битві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переможців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нема</w:t>
      </w:r>
      <w:proofErr w:type="gram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є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,</w:t>
      </w:r>
      <w:proofErr w:type="gram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допоможіть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дітям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вийти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з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ситуації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 xml:space="preserve"> максимально </w:t>
      </w:r>
      <w:proofErr w:type="spellStart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безболісно</w:t>
      </w:r>
      <w:proofErr w:type="spellEnd"/>
      <w:r w:rsidRPr="00CE4646">
        <w:rPr>
          <w:rFonts w:ascii="Arial" w:eastAsia="Times New Roman" w:hAnsi="Arial" w:cs="Arial"/>
          <w:color w:val="333333"/>
          <w:sz w:val="26"/>
          <w:szCs w:val="26"/>
          <w:lang w:val="ru-RU" w:eastAsia="ru-RU" w:bidi="ar-SA"/>
        </w:rPr>
        <w:t>.</w:t>
      </w:r>
    </w:p>
    <w:p w:rsidR="00E86EA9" w:rsidRPr="00CE4646" w:rsidRDefault="00E86EA9" w:rsidP="00214C6B">
      <w:pPr>
        <w:spacing w:line="240" w:lineRule="auto"/>
        <w:ind w:left="0"/>
        <w:rPr>
          <w:lang w:val="ru-RU"/>
        </w:rPr>
      </w:pPr>
    </w:p>
    <w:sectPr w:rsidR="00E86EA9" w:rsidRPr="00CE4646" w:rsidSect="00214C6B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2CE"/>
    <w:multiLevelType w:val="multilevel"/>
    <w:tmpl w:val="7B5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657BC"/>
    <w:multiLevelType w:val="multilevel"/>
    <w:tmpl w:val="1B2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A441C"/>
    <w:multiLevelType w:val="multilevel"/>
    <w:tmpl w:val="4CCE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46"/>
    <w:rsid w:val="001B4814"/>
    <w:rsid w:val="001D3A32"/>
    <w:rsid w:val="00214C6B"/>
    <w:rsid w:val="00517571"/>
    <w:rsid w:val="00817432"/>
    <w:rsid w:val="00CE4646"/>
    <w:rsid w:val="00E60A22"/>
    <w:rsid w:val="00E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8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rPr>
      <w:b/>
      <w:bCs/>
      <w:smallCaps/>
      <w:color w:val="464653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8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E46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E4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50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35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08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4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ukraine/ukr/media_312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2018-02-06T10:10:00Z</cp:lastPrinted>
  <dcterms:created xsi:type="dcterms:W3CDTF">2018-02-06T10:02:00Z</dcterms:created>
  <dcterms:modified xsi:type="dcterms:W3CDTF">2018-02-07T10:18:00Z</dcterms:modified>
</cp:coreProperties>
</file>